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6"/>
      </w:tblGrid>
      <w:tr w:rsidR="005F749E" w:rsidRPr="005F749E" w:rsidTr="00E3150E">
        <w:tc>
          <w:tcPr>
            <w:tcW w:w="13504" w:type="dxa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ПЛАН ЗА МЛАДЕЖТА </w:t>
            </w:r>
          </w:p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2021 г.</w:t>
            </w:r>
          </w:p>
        </w:tc>
      </w:tr>
      <w:tr w:rsidR="005F749E" w:rsidRPr="005F749E" w:rsidTr="00E3150E">
        <w:tc>
          <w:tcPr>
            <w:tcW w:w="13504" w:type="dxa"/>
          </w:tcPr>
          <w:p w:rsidR="005F749E" w:rsidRPr="005F749E" w:rsidRDefault="005F749E" w:rsidP="005F749E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Община Сухиндол</w:t>
            </w:r>
          </w:p>
        </w:tc>
      </w:tr>
    </w:tbl>
    <w:p w:rsidR="005F749E" w:rsidRPr="005F749E" w:rsidRDefault="005F749E" w:rsidP="005F74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72"/>
        <w:gridCol w:w="2700"/>
        <w:gridCol w:w="1980"/>
        <w:gridCol w:w="1980"/>
        <w:gridCol w:w="1835"/>
        <w:gridCol w:w="1835"/>
      </w:tblGrid>
      <w:tr w:rsidR="005F749E" w:rsidRPr="005F749E" w:rsidTr="00E3150E">
        <w:tc>
          <w:tcPr>
            <w:tcW w:w="516" w:type="dxa"/>
            <w:shd w:val="clear" w:color="auto" w:fill="B8CCE4"/>
          </w:tcPr>
          <w:p w:rsidR="005F749E" w:rsidRPr="005F749E" w:rsidRDefault="005F749E" w:rsidP="005F749E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</w:pPr>
            <w:r w:rsidRPr="005F749E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3372" w:type="dxa"/>
            <w:shd w:val="clear" w:color="auto" w:fill="B8CCE4"/>
          </w:tcPr>
          <w:p w:rsidR="005F749E" w:rsidRPr="005F749E" w:rsidRDefault="005F749E" w:rsidP="005F749E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</w:pPr>
            <w:r w:rsidRPr="005F749E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  <w:t xml:space="preserve">                      Дейност</w:t>
            </w:r>
          </w:p>
        </w:tc>
        <w:tc>
          <w:tcPr>
            <w:tcW w:w="2700" w:type="dxa"/>
            <w:shd w:val="clear" w:color="auto" w:fill="B8CCE4"/>
          </w:tcPr>
          <w:p w:rsidR="005F749E" w:rsidRPr="005F749E" w:rsidRDefault="005F749E" w:rsidP="005F749E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</w:pPr>
            <w:r w:rsidRPr="005F749E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  <w:t xml:space="preserve">  Срок за реализация     </w:t>
            </w:r>
          </w:p>
        </w:tc>
        <w:tc>
          <w:tcPr>
            <w:tcW w:w="1980" w:type="dxa"/>
            <w:shd w:val="clear" w:color="auto" w:fill="B8CCE4"/>
          </w:tcPr>
          <w:p w:rsidR="005F749E" w:rsidRPr="005F749E" w:rsidRDefault="005F749E" w:rsidP="005F749E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</w:pPr>
            <w:r w:rsidRPr="005F749E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  <w:t>Вид на дейността</w:t>
            </w:r>
          </w:p>
        </w:tc>
        <w:tc>
          <w:tcPr>
            <w:tcW w:w="1980" w:type="dxa"/>
            <w:shd w:val="clear" w:color="auto" w:fill="B8CCE4"/>
          </w:tcPr>
          <w:p w:rsidR="005F749E" w:rsidRPr="005F749E" w:rsidRDefault="005F749E" w:rsidP="005F749E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</w:pPr>
            <w:r w:rsidRPr="005F749E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  <w:t xml:space="preserve">Отговорна институция </w:t>
            </w:r>
          </w:p>
        </w:tc>
        <w:tc>
          <w:tcPr>
            <w:tcW w:w="1835" w:type="dxa"/>
            <w:shd w:val="clear" w:color="auto" w:fill="B8CCE4"/>
          </w:tcPr>
          <w:p w:rsidR="005F749E" w:rsidRPr="005F749E" w:rsidRDefault="005F749E" w:rsidP="005F749E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</w:pPr>
            <w:r w:rsidRPr="005F749E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  <w:t>Финансиране на дейността</w:t>
            </w:r>
          </w:p>
        </w:tc>
        <w:tc>
          <w:tcPr>
            <w:tcW w:w="1835" w:type="dxa"/>
            <w:shd w:val="clear" w:color="auto" w:fill="B8CCE4"/>
          </w:tcPr>
          <w:p w:rsidR="005F749E" w:rsidRPr="005F749E" w:rsidRDefault="005F749E" w:rsidP="005F749E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</w:pPr>
            <w:r w:rsidRPr="005F749E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bg-BG"/>
              </w:rPr>
              <w:t>Индикатори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  <w:vAlign w:val="center"/>
          </w:tcPr>
          <w:p w:rsidR="005F749E" w:rsidRPr="005F749E" w:rsidRDefault="005F749E" w:rsidP="005F74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Приоритет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I.  НАСЪРЧАВАНЕ НА ИКОНОМИЧЕСКАТА АКТИВНОСТ И КАРИЕРНОТО РАЗВИТИЕ НА МЛАДИТЕ ХОРА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  <w:vAlign w:val="center"/>
          </w:tcPr>
          <w:p w:rsidR="005F749E" w:rsidRPr="005F749E" w:rsidRDefault="005F749E" w:rsidP="005F74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Създаване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благоприятна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насърчаваща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подкрепяща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качествена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Засилване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ефективността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обучителните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институции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бизнеса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улесняване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прехода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заетост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обучения,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консултации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сътрудничеството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възможностите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срещи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училища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обучителните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центрове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обучения, 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възможности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стажове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висшите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училища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 и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срещи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Осъществяване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дуална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на обучение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обучения, 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представители на бизнеса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 «Св. Кл.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Охридски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20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rPr>
          <w:trHeight w:val="305"/>
        </w:trPr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ІІ.  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ПОДОБРЯВАНЕ НА ДОСТЪПА ДО ИНФОРМАЦИЯ И КАЧЕСТВЕНИ УСЛУГИ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Улесняване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достъпа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подкрепа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пълноценното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</w:t>
            </w:r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съответствие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потребностите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интересите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Публично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подпомагане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предлагане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предоставящи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актуална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систематизирана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достъпна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удовлетворяваща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спектър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интереси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потребности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кампании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насочени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ІІІ.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НАСЪРЧАВАНЕ НА ЗДРАВОСЛОВНИЯ НАЧИН НА ЖИВОТ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Осигуряване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равенство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достъпа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до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качествени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здравни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услуги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превантивни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всички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младежите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увреждания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етнически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малцинствени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групи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насърчаване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здравословния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им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начин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живот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Реализиране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стимулиране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детския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младежкия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спорт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туризъм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7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Осигуряване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ефективно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прилагане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сред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физическата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дейнос</w:t>
            </w:r>
            <w:proofErr w:type="spellEnd"/>
            <w:r w:rsidRPr="005F749E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Създаване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възможности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обучение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въпросите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спорта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физическата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активност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ІV.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ПРЕВЕНЦИЯ НА СОЦИАЛНОТО ИЗКЛЮЧВАНЕ НА МЛАДИ ХОРА В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Н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ЕРАВНОСТОЙНО ПОЛОЖЕНИЕ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Превенция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социалното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изключване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неравностойно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положение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специализирани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институции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увреждания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напускащи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специализирани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институции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страдащи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различни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зависимости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бивши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затворници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риск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придружаване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менторство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подходящи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риск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синхронизирането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политиките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закрила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25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сътрудничеството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работници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лидери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приобщаване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риск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изключване</w:t>
            </w:r>
            <w:proofErr w:type="spellEnd"/>
          </w:p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V.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РАЗВИТИЕ НА МЛАДЕЖКО ДОБРОВОЛЧЕСТВО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азвитие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доброволчеството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движеща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сила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личностно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мобилност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конкурентоспособност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сближаване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солидарност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поколенията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гражданско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самосъзнание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rPr>
          <w:trHeight w:val="267"/>
        </w:trPr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72" w:type="dxa"/>
          </w:tcPr>
          <w:p w:rsidR="005F749E" w:rsidRPr="00310B0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подходящо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младите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доброволци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свързани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извършваните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младежите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доброволчески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rPr>
          <w:trHeight w:val="267"/>
        </w:trPr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72" w:type="dxa"/>
          </w:tcPr>
          <w:p w:rsidR="005F749E" w:rsidRPr="00310B0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младежкото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доброволчество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общината</w:t>
            </w:r>
            <w:proofErr w:type="spellEnd"/>
            <w:r w:rsidRPr="003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VІ.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ПОВИШАВАНЕ НА ГРАЖДАНСКАТА АКТИВНОСТ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възможности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пълноценно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гражданския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приобщаването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демократични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ценности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стандарти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rPr>
          <w:trHeight w:val="268"/>
        </w:trPr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F74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Насърчаване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подпомагане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развитието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младежките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организации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общината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бизнеса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обществото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Създаване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условия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подкрепа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реализиране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младежки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кампании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младежки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инициативи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Популяризиране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обучение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защита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правата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човека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особено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въпросите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правата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детето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дискриминацията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равнопоставеността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между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половете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трудовите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права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VІІ.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РАЗВИТИЕ НА МЛАДИТЕ ХОРА В МАЛКИТЕ НАСЕЛЕНИ МЕСТА И СЕЛСКИТЕ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РАЙOНИ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привлекателна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селските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подпомагане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читалищата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средища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неформално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изразяване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гражданско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селските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райони</w:t>
            </w:r>
            <w:proofErr w:type="spellEnd"/>
          </w:p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инициативи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младежите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селските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райони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VІІІ. 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РАЗВИТИЕ НА МЕЖДУКУЛТУРНИЯ И МЕЖДУНАРОДНИЯ ДИАЛОГ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Създаване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благоприятна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насърчаваща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среда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българските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младежи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участват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пълноценно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междукултурното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международното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младежко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общуване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подпомагане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опознаването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отделните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етнически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общности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стимулиране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толерантност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разбирателство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взаимодействие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общностите</w:t>
            </w:r>
            <w:proofErr w:type="spellEnd"/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DAEEF3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</w:t>
            </w:r>
            <w:r w:rsidRPr="005F7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ІХ.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ПОВИШАВАНЕ НА РОЛЯТА НА МЛАДИТЕ ХОРА В ПРЕВЕНЦИЯТА НА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F7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ПРЕСТЪПНОСТТА</w:t>
            </w:r>
          </w:p>
        </w:tc>
      </w:tr>
      <w:tr w:rsidR="005F749E" w:rsidRPr="005F749E" w:rsidTr="00E3150E">
        <w:tc>
          <w:tcPr>
            <w:tcW w:w="14218" w:type="dxa"/>
            <w:gridSpan w:val="7"/>
            <w:shd w:val="clear" w:color="auto" w:fill="EAF1DD"/>
          </w:tcPr>
          <w:p w:rsidR="005F749E" w:rsidRPr="005F749E" w:rsidRDefault="005F749E" w:rsidP="005F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Стратегическа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Стимулиране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активното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младите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превенцията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престъпността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особено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превенция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правонарушенията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извършени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кампании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превенция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правонарушенията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извършвани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5F749E" w:rsidRPr="005F749E" w:rsidTr="00E3150E">
        <w:tc>
          <w:tcPr>
            <w:tcW w:w="516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372" w:type="dxa"/>
          </w:tcPr>
          <w:p w:rsidR="005F749E" w:rsidRPr="005F749E" w:rsidRDefault="005F749E" w:rsidP="005F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Организиране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пътна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безопасност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училищата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консултации, кампании,</w:t>
            </w:r>
          </w:p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работни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</w:p>
        </w:tc>
        <w:tc>
          <w:tcPr>
            <w:tcW w:w="1980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Сухиндол</w:t>
            </w:r>
            <w:proofErr w:type="spellEnd"/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национален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спонсори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835" w:type="dxa"/>
            <w:vAlign w:val="center"/>
          </w:tcPr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хора на </w:t>
            </w:r>
            <w:proofErr w:type="spellStart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възраст</w:t>
            </w:r>
            <w:proofErr w:type="spellEnd"/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           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7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29 г.</w:t>
            </w:r>
            <w:r w:rsidRPr="005F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</w:tbl>
    <w:p w:rsidR="005F749E" w:rsidRDefault="005F749E" w:rsidP="005F74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10B0E" w:rsidRPr="005F749E" w:rsidRDefault="00310B0E" w:rsidP="005F74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F749E" w:rsidRPr="005F749E" w:rsidRDefault="005F749E" w:rsidP="005F749E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pacing w:after="0" w:line="326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bookmarkStart w:id="0" w:name="bookmark16"/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ОРГАНИЗАЦИЯ И КООРДИНАЦИЯ НА ДЕЙНОСТИТЕ ЗА ПОСТИГАНЕ НА ЦЕЛИТЕ</w:t>
      </w:r>
      <w:bookmarkEnd w:id="0"/>
    </w:p>
    <w:p w:rsidR="005F749E" w:rsidRPr="005F749E" w:rsidRDefault="005F749E" w:rsidP="005F749E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Изключително важно за ефективното изпълнение на плана е координацията и оперативното взаимодействието между: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Министерство на образованието и науката;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Министерство на труда и социалната политика;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Минист</w:t>
      </w:r>
      <w:r w:rsidR="00310B0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ерство на младежта</w:t>
      </w: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 xml:space="preserve"> и спорта;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Общинска администрация - Сухиндол;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8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Дирекция “Социално подпомагане” - гр. Павликени;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8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Дирекция “Бюро по труда” - гр. Павликени;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Обслужващи звена в община Сухиндол;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lastRenderedPageBreak/>
        <w:t>Читалищата в община Сухиндол;</w:t>
      </w:r>
    </w:p>
    <w:p w:rsidR="005F749E" w:rsidRPr="005F749E" w:rsidRDefault="005F749E" w:rsidP="005F749E">
      <w:pPr>
        <w:widowControl w:val="0"/>
        <w:numPr>
          <w:ilvl w:val="0"/>
          <w:numId w:val="1"/>
        </w:num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Спортни клубове;</w:t>
      </w:r>
    </w:p>
    <w:p w:rsidR="005F749E" w:rsidRPr="005F749E" w:rsidRDefault="00310B0E" w:rsidP="005F749E">
      <w:pPr>
        <w:widowControl w:val="0"/>
        <w:numPr>
          <w:ilvl w:val="0"/>
          <w:numId w:val="1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Представители на бизнеса;</w:t>
      </w:r>
    </w:p>
    <w:p w:rsidR="005F749E" w:rsidRDefault="00310B0E" w:rsidP="005F749E">
      <w:pPr>
        <w:widowControl w:val="0"/>
        <w:numPr>
          <w:ilvl w:val="0"/>
          <w:numId w:val="1"/>
        </w:numPr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  <w:t>НПО.</w:t>
      </w:r>
    </w:p>
    <w:p w:rsidR="00310B0E" w:rsidRDefault="00310B0E" w:rsidP="00310B0E">
      <w:pPr>
        <w:widowControl w:val="0"/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</w:p>
    <w:p w:rsidR="00310B0E" w:rsidRPr="005F749E" w:rsidRDefault="00310B0E" w:rsidP="00310B0E">
      <w:pPr>
        <w:widowControl w:val="0"/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</w:p>
    <w:p w:rsidR="005F749E" w:rsidRPr="005F749E" w:rsidRDefault="005F749E" w:rsidP="005F749E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pacing w:after="0" w:line="326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bookmarkStart w:id="1" w:name="bookmark17"/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ДЕЙСТВИЯ ПО НАБЛЮДЕНИЕ, ОЦЕНКА И АКТУАЛИЗАЦИЯ НА ПЛАНА</w:t>
      </w:r>
      <w:bookmarkEnd w:id="1"/>
    </w:p>
    <w:p w:rsidR="005F749E" w:rsidRPr="005F749E" w:rsidRDefault="00310B0E" w:rsidP="005F749E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Общинският план за младежта 2021</w:t>
      </w:r>
      <w:r w:rsidR="005F749E"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 xml:space="preserve"> година е разработен въз основа на планираните инициативи от общинска администрация, читалища, социални институции.</w:t>
      </w:r>
    </w:p>
    <w:p w:rsidR="005F749E" w:rsidRPr="005F749E" w:rsidRDefault="005F749E" w:rsidP="005F749E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В периода на реализация на дейностите, наблюдението на плана и координацията между ангажираните институции ще бъде осъществявана от експерти на общинска администрация и в резултат ще бъде изготвен годишен отчет за реализираните инициативи.</w:t>
      </w:r>
    </w:p>
    <w:p w:rsidR="005F749E" w:rsidRPr="005F749E" w:rsidRDefault="005F749E" w:rsidP="005F749E">
      <w:pPr>
        <w:widowControl w:val="0"/>
        <w:spacing w:after="0" w:line="326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Планът е отворена система и подлежи на промени през годината при постъпване на предложения и идеи за младежки мероприятия и дейности.</w:t>
      </w:r>
    </w:p>
    <w:p w:rsidR="005F749E" w:rsidRDefault="005F749E" w:rsidP="005F749E">
      <w:pPr>
        <w:widowControl w:val="0"/>
        <w:spacing w:after="0" w:line="326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val="ru-RU" w:eastAsia="bg-BG"/>
        </w:rPr>
      </w:pPr>
    </w:p>
    <w:p w:rsidR="00310B0E" w:rsidRPr="005F749E" w:rsidRDefault="00310B0E" w:rsidP="005F749E">
      <w:pPr>
        <w:widowControl w:val="0"/>
        <w:spacing w:after="0" w:line="326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val="ru-RU" w:eastAsia="bg-BG"/>
        </w:rPr>
      </w:pPr>
      <w:bookmarkStart w:id="2" w:name="_GoBack"/>
      <w:bookmarkEnd w:id="2"/>
    </w:p>
    <w:p w:rsidR="005F749E" w:rsidRPr="005F749E" w:rsidRDefault="005F749E" w:rsidP="005F749E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7"/>
          <w:lang w:eastAsia="bg-BG"/>
        </w:rPr>
      </w:pPr>
      <w:bookmarkStart w:id="3" w:name="bookmark18"/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ОСИГУРЯВАНЕ НА ИНФОРМАЦИЯ И ПУБЛИЧНОСТ НА ПЛАНА</w:t>
      </w:r>
      <w:bookmarkEnd w:id="3"/>
    </w:p>
    <w:p w:rsidR="005F749E" w:rsidRPr="005F749E" w:rsidRDefault="005F749E" w:rsidP="005F749E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</w:pPr>
      <w:r w:rsidRPr="005F749E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bg-BG"/>
        </w:rPr>
        <w:t>За осигуряване на публичност, планът е публикуван на сайта на Община Сухиндол.</w:t>
      </w:r>
    </w:p>
    <w:p w:rsidR="005F749E" w:rsidRPr="005F749E" w:rsidRDefault="005F749E" w:rsidP="005F749E">
      <w:pPr>
        <w:widowControl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  <w:shd w:val="clear" w:color="auto" w:fill="FFFFFF"/>
          <w:lang w:val="en-US" w:eastAsia="bg-BG"/>
        </w:rPr>
      </w:pPr>
      <w:r w:rsidRPr="005F749E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  <w:shd w:val="clear" w:color="auto" w:fill="FFFFFF"/>
          <w:lang w:val="en-US" w:eastAsia="bg-BG"/>
        </w:rPr>
        <w:t>https://www.suhindol.bg/общински-съвет/наредби-правилници-програми-планове/</w:t>
      </w:r>
    </w:p>
    <w:p w:rsidR="005F749E" w:rsidRPr="005F749E" w:rsidRDefault="005F749E" w:rsidP="005F749E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1E0065" w:rsidRDefault="001E0065"/>
    <w:sectPr w:rsidR="001E0065" w:rsidSect="0022370F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4EE5F66"/>
    <w:multiLevelType w:val="hybridMultilevel"/>
    <w:tmpl w:val="178A7480"/>
    <w:lvl w:ilvl="0" w:tplc="328A2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9E"/>
    <w:rsid w:val="001E0065"/>
    <w:rsid w:val="00310B0E"/>
    <w:rsid w:val="005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25F6"/>
  <w15:chartTrackingRefBased/>
  <w15:docId w15:val="{22AD45BD-8D00-4338-B3F7-2EAB5B4F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2021-04-22T13:21:00Z</dcterms:created>
  <dcterms:modified xsi:type="dcterms:W3CDTF">2021-04-23T06:29:00Z</dcterms:modified>
</cp:coreProperties>
</file>